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71" w:rsidRPr="00DC3338" w:rsidRDefault="00A30071" w:rsidP="00A30071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DC3338">
        <w:rPr>
          <w:bCs w:val="0"/>
          <w:sz w:val="28"/>
          <w:szCs w:val="28"/>
          <w:lang w:val="uk-UA"/>
        </w:rPr>
        <w:t>МІЖНАРОДНІ ВІДНОСИНИ ПРОТЯГОМ 1960-Х ГГ .: ПОЧАТОК ЕРОЗІЇ БІПОЛЯРНОЇ СИСТЕМИ МІЖНАРОДНИХ ВІДНОСИН</w:t>
      </w:r>
    </w:p>
    <w:p w:rsidR="00A30071" w:rsidRPr="00DC3338" w:rsidRDefault="00A30071" w:rsidP="00A30071">
      <w:pPr>
        <w:pStyle w:val="2"/>
        <w:spacing w:before="0" w:beforeAutospacing="0" w:line="276" w:lineRule="auto"/>
        <w:jc w:val="both"/>
        <w:rPr>
          <w:bCs w:val="0"/>
          <w:sz w:val="28"/>
          <w:szCs w:val="28"/>
          <w:lang w:val="uk-UA"/>
        </w:rPr>
      </w:pPr>
      <w:r w:rsidRPr="00DC3338">
        <w:rPr>
          <w:bCs w:val="0"/>
          <w:sz w:val="28"/>
          <w:szCs w:val="28"/>
          <w:lang w:val="uk-UA"/>
        </w:rPr>
        <w:t>На шляху до стратегічного паритету між "наддержавами".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Як вже було сказано, і за якісними, і за кількісними показниками радянські стратегічні сили на рубежі 1950-1960-х рр. набагато поступалися американським. Що ще гірше, у Вашингтоні були про це чудово знають. З урахуванням надзвичайної вразливості і недосконалості радянських засобів доставки стратегічної ядерної зброї можна припустити, що, якби в той час вибухнула третя світова війна, у США і їх союзників були всі шанси її виграти.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Спроби радянського керівництва змінити несприятливий для пего співвідношення стратегічних сил за рахунок одномоментних вольових рішень - на зразок іспиту надпотужної водневої бомби в жовтні 1961 року або розміщення радянських ракет на Кубі в 1962 р - не принесли очікуваних результатів: Америка продовжувала лідирувати в гонці стратегічних ядерних озброєнь 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Для досягнення стратегічного паритету Радянському Союзу довелося докласти воістину титанічних зусиль щодо кількісного нарощування і якісного вдосконалення своїх ядерних озброєнь міжконтинентальної дальності. Уже в 1970 р в СРСР була розгорнута 1361 ракета міжконтинентальної дальності - проти 1054 в США.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Одночасно радянська сторона докладала величезних зусиль для створення підводного атомного ракетоносного флоту. У 1968 р на озброєння радянського ВМФ почали надходити атомні підводні човни з балістичними ракетами (ПЛАРБ) другого покоління класу Янки I (Навага). Всього до 1971 в строю знаходилося 14 таких підводних ракетоносців. Це була перша сучасна атомний підводний човен радянського флоту. У 1969-1971 рр. почалося безперервне бойове патрулювання радянських ПЛАРБ в Атлантичному і Тихому океанах.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Правда, незважаючи на значне зростання радянських стратегічних арсеналів у другій половині 1960-х рр .. Сполучені Штати продовжували зберігати ряд кількісних і якісних переваг в ядерній гонці: у США було більше стратегічних боєголовок: багато американських стратегічні системи були технічно здійснено їх радянських аналогів; нарешті, Америка мала таким істотним геостратегічним перевагою над СРСР, як наявність коштів передового базування.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Але, тим не менше нiж, до кінця цього десятиліття змінилося головне: Сполучені Штати втратили здатність виграти термоядерну війну проти СРСР. Відтепер - при будь-якому сценарії ядерного конфлікту - Радянський Союз був у стані завдати Сполученим Штатам неприйнятного збитку (табл. 28.1).</w:t>
      </w:r>
    </w:p>
    <w:p w:rsidR="00A30071" w:rsidRPr="00DC3338" w:rsidRDefault="00A30071" w:rsidP="00A30071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DC3338">
        <w:rPr>
          <w:b/>
          <w:sz w:val="28"/>
          <w:szCs w:val="28"/>
          <w:lang w:val="uk-UA"/>
        </w:rPr>
        <w:t>Таблиця 28.1</w:t>
      </w:r>
    </w:p>
    <w:p w:rsidR="00A30071" w:rsidRPr="00DC3338" w:rsidRDefault="00A30071" w:rsidP="00A30071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DC3338">
        <w:rPr>
          <w:b/>
          <w:sz w:val="28"/>
          <w:szCs w:val="28"/>
          <w:lang w:val="uk-UA"/>
        </w:rPr>
        <w:t>Загальна кількість міжконтинентальних балістичних ракет, од. </w:t>
      </w:r>
      <w:hyperlink r:id="rId6" w:anchor="srcannot_1" w:history="1">
        <w:r w:rsidRPr="00DC3338">
          <w:rPr>
            <w:rStyle w:val="a4"/>
            <w:b/>
            <w:color w:val="auto"/>
            <w:sz w:val="28"/>
            <w:szCs w:val="28"/>
            <w:u w:val="none"/>
            <w:vertAlign w:val="superscript"/>
            <w:lang w:val="uk-UA"/>
          </w:rPr>
          <w:t>[1]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860"/>
        <w:gridCol w:w="3318"/>
      </w:tblGrid>
      <w:tr w:rsidR="00A30071" w:rsidRPr="00D2745A" w:rsidTr="000933B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A30071" w:rsidRPr="00D2745A" w:rsidTr="000933B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:rsidR="00A30071" w:rsidRPr="00D2745A" w:rsidRDefault="00A30071" w:rsidP="00093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1961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1970</w:t>
            </w:r>
          </w:p>
        </w:tc>
      </w:tr>
      <w:tr w:rsidR="00A30071" w:rsidRPr="00D2745A" w:rsidTr="000933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тисяча п'ятьдесят-чотири</w:t>
            </w:r>
          </w:p>
        </w:tc>
      </w:tr>
      <w:tr w:rsidR="00A30071" w:rsidRPr="00D2745A" w:rsidTr="000933B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СРСР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071" w:rsidRPr="00D2745A" w:rsidRDefault="00A30071" w:rsidP="000933B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2745A">
              <w:rPr>
                <w:sz w:val="28"/>
                <w:szCs w:val="28"/>
                <w:lang w:val="uk-UA"/>
              </w:rPr>
              <w:t>1361</w:t>
            </w:r>
          </w:p>
        </w:tc>
      </w:tr>
    </w:tbl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Виступаючи 18 вересня 1967 р перед редакторами і журналістами агентства "Юнайтед прес Інтернешнл", міністр оборони США Роберт Стрейндж Макнамара, підкреслюючи, що Сполучені Штати перевершують Радянський Союз але кількістю стратегічних боєголовок в співвідношенні три або чотири до одного, додав: "Наше" перевага "не має великого значення, оскільки навіть МРІ наявності того переваги, яким ми володіємо в даний час, або на яке ми можемо розраховувати, неминучим залишається той факт, що Радянський Союз - з його нинішніми силами - все ж може знищити Сполучені Штати, навіть після першого американського удару " </w:t>
      </w:r>
      <w:hyperlink r:id="rId7" w:anchor="srcannot_2" w:history="1">
        <w:r w:rsidRPr="00D2745A">
          <w:rPr>
            <w:rStyle w:val="a4"/>
            <w:color w:val="auto"/>
            <w:sz w:val="28"/>
            <w:szCs w:val="28"/>
            <w:u w:val="none"/>
            <w:vertAlign w:val="superscript"/>
            <w:lang w:val="uk-UA"/>
          </w:rPr>
          <w:t>[2]</w:t>
        </w:r>
      </w:hyperlink>
      <w:r w:rsidRPr="00D2745A">
        <w:rPr>
          <w:sz w:val="28"/>
          <w:szCs w:val="28"/>
          <w:lang w:val="uk-UA"/>
        </w:rPr>
        <w:t> 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Протягом 1960-х рр. СРСР і США досягли певних успіхів у справі обмеження і скорочення озброєнь, однак на думку багатьох учасників радянсько-американських переговорів з роззброєння в той час було набагато більше втрачених можливостей.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Сама доктрина "гнучкого реагування", яка була покладена в основу військово-політичного планування Вашингтона в 1960-і рр., Передбачала набагато більш інтенсивний діалог з Москвою, в тому числі і щодо стратегічних проблем, ніж її попередниця - доктрина "масованої відплати". Не випадково, що саме в 1960-і рр. в США була сформульована концепція "контролю над озброєннями", яка на довгі роки і десятиліття була покладена в основу підходу "наддержав" до проблеми обмеження і скорочення озброєнь.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Слід зазначити, що після зміни вищого керівництва в США і СРСР (вбивства президента Дж. Ф. Кеннеді і зміщення голови Ради міністрів Н. С. Хрущова) позитивний настрій в Москві і Вашингтоні стосовно самої ідеї контролю над ядерною зброєю в принципі зберігався. Однак незабаром цей діалог був фактично зведений нанівець. Основною причиною тому стали події в Індокитаї, які, безперечно, завдали серйозної шкоди всьому комплексу радянсько-американських відносин.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Але були й інші причини, тісно пов'язані із загальною слабкістю і недостатньою вкоріненість у радянських і американських "коридорах влади" інституту контролю над ядерними озброєннями:</w:t>
      </w:r>
    </w:p>
    <w:p w:rsidR="00A30071" w:rsidRPr="00D2745A" w:rsidRDefault="00A30071" w:rsidP="00A3007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1. Формат переговорів між Москвою і Вашингтоном по роззброєння проблем, який існував потім в 1970-х рр., Ще треба було створити. Тому сторони, з одного боку, часто висували глобальні всеосяжність ініціативи, на зразок спільної радянсько-американської резолюції про загальне і повне роззброєння (Угода Макклоу - Зоріна, або Спільну заяву про узгоджені принципи в якості основи для багатосторонніх переговорів з роззброєння, прийняте 20 вересня 1961 р .), або пропозиції про "заморожування" військових бюджетів, а з іншого - пропонували обмежені заходи, що мали чисто символічне значення. Як приклад можна привести ініціативу про ліквідацію бомбардувальників / 2-47 та їх радянських аналогів (Ту-16). До моменту висування цієї ініціативи ці, колись грізні, бойові машини давно вже перестали грати реальну роль в стратегічних балансах двох країн, будучи нездатними прорвати протиповітряну оборону потенційного противника і залишаючись уразливими для раптового ракетно-ядерного удару.</w:t>
      </w:r>
    </w:p>
    <w:p w:rsidR="00A30071" w:rsidRPr="00D2745A" w:rsidRDefault="00A30071" w:rsidP="00A3007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 xml:space="preserve">2. Над політичними лідерами 1960-х рр. продовжував тяжіти передував досвід в області контролю над озброєннями; оскільки всі переговорні форуми з проблем роззброєння, починаючи з Вашингтонської конференцію 1922 р були багатосторонніми, вважалося, що проблему обмеження і скорочення озброєнь слід обговорювати в багатосторонньому форматі. Ось чому па Протягом 1960-х рр. практично всі процеси роззброєння угоди були багатосторонніми - Договір про принципи діяльності держав з дослідження і використання космічного простору в мирних цілях, включаючи Місяць і інші небесні тіла, від 27 січня 1967 року Договір про нерозповсюдження ядерної зброї від 1 липня 1968 р а також договір про заборону розміщення на дні морів </w:t>
      </w:r>
      <w:r w:rsidRPr="00D2745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океанів і в його надрах ядерної зброї та інших видів зброї масового знищення від 11 лютого 1971 р</w:t>
      </w:r>
    </w:p>
    <w:p w:rsidR="00A30071" w:rsidRPr="00D2745A" w:rsidRDefault="00A30071" w:rsidP="00A3007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3. Аж до самого кінця 1960-х рр. зберігалося величезне американське стратегічне перевагу над Радянським Союзом, і в цих умовах сторони були просто не готові до рівноправного і конструктивного діалогу з проблеми обмеження і скорочення ядерних озброєнь.</w:t>
      </w:r>
    </w:p>
    <w:p w:rsidR="00A30071" w:rsidRPr="00D2745A" w:rsidRDefault="00A30071" w:rsidP="00A3007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4. У ті часи "національні засоби контролю", тобто, просто кажучи, супутники-шпигуни, все ще залишалися технічною новинкою, і тому вважалося, що будь-яке серйозне роззброєння угода мала б передбачати досить інтрузивний контроль на місці за його дотриманням - а це було абсолютно неприйнятним ні для радянських військових, ні, до речі, для їх американських колег.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Ставлення в Вашингтоні до діалогу з Москвою щодо скорочення стратегічних озброєнь стало змінюватися тільки тоді, коли Радянський Союз на ділі продемонструвавши свою здатність добитися паритету з Америкою. Першим свідченням серйозності намірів радянської сторони зграю для Вашингтона на чаю робіт але створення стратегічної протиракетної оборони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(ПРО) навколо Москви, другим - колосальне зростання радянських Ракетних військ стратегічного призначення в другій половині 1960-х рр.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Величезне значення для радянсько-американського діалогу по військово стратегічних проблем мала зустріч голови ради міністрів СРСР Олексія Миколайовича Косигіна з президентом США Л. Б. Джонсоном в Гласборо (штат Нью-Джерсі) в червні 1967 р ході що відбулися радянсько-американських переговорів на вищому рівні була порушена і проблема стратегічних озброєнь.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Після Гласборо радянсько-американський діалог з проблем стратегічних наступальних озброєнь став більш цілеспрямованим і продуктивним. 1 липня 1968 р в день підписання Договору про нерозповсюдження, СРСР і США виступили зі спільною заявою про початок радянсько-американських переговорів про стратегічні озброєння.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До кінця 1960-х рр. Москва і Вашингтон вже були готові прийняти ту форму діалогу з проблем стратегічних озброєнь, яка залишалася незмінною аж до початку XXI ст. - До російсько-американського Договору про заходи щодо подальшого скорочення і обмеження стратегічних наступальних озброєнь 2010 р .:</w:t>
      </w:r>
    </w:p>
    <w:p w:rsidR="00A30071" w:rsidRPr="00D2745A" w:rsidRDefault="00A30071" w:rsidP="00A3007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lastRenderedPageBreak/>
        <w:t>1) діалог зі стратегічних озброєнь - це виняткова справа двох "наддержав"; інші держави, і навіть ядерні держави, до нього не допускаються;</w:t>
      </w:r>
    </w:p>
    <w:p w:rsidR="00A30071" w:rsidRPr="00D2745A" w:rsidRDefault="00A30071" w:rsidP="00A3007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2) цей діалог зачіпає виключно кошти доставки стратегічних озброєнь, але не ядерну вибухівку;</w:t>
      </w:r>
    </w:p>
    <w:p w:rsidR="00A30071" w:rsidRPr="00D2745A" w:rsidRDefault="00A30071" w:rsidP="00A3007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3) в ході цього діалогу Москва і Вашингтон походять від розуміння наявності тісного зв'язку між оборонними і наступальними стратегічно ми озброєннями;</w:t>
      </w:r>
    </w:p>
    <w:p w:rsidR="00A30071" w:rsidRPr="00D2745A" w:rsidRDefault="00A30071" w:rsidP="00A30071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45A">
        <w:rPr>
          <w:rFonts w:ascii="Times New Roman" w:hAnsi="Times New Roman" w:cs="Times New Roman"/>
          <w:sz w:val="28"/>
          <w:szCs w:val="28"/>
          <w:lang w:val="uk-UA"/>
        </w:rPr>
        <w:t>4) нарешті, в ході цього діалогу сторони прагнуть до зміцнення стратегічної стабільності, а не до такими абстрактними цілям, як "загальне і повне роззброєння".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Цей концептуальний прорив у справі обмеження і скорочення стратегічних озброєнь мав надалі величезне значення: конкретизувавши свої цілі, Москва і Вашингтон зуміли приборкати, а в подальшому - і повернути назад гонку ядерних озброєнь. Проте цей концептуальний прорив дістався двом "наддержавам" дорогою ціною - ціною втрати дорогоцінного часу.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Поки радянські і американські дипломати виробляли формат майбутніх переговорів, були прийняті ті рішення в області стратегічних систем (ПРО, яка розділяється головна частина з блоками індивідуального наведення - РГЧ ІН, і ін.), Які в подальшому надали найбільш негативний вплив і на стан стратегічного балансу, і на загальний стан радянсько-американських відносин і міжнародної обстановки </w:t>
      </w:r>
      <w:hyperlink r:id="rId8" w:anchor="srcannot_3" w:history="1">
        <w:r w:rsidRPr="00D2745A">
          <w:rPr>
            <w:rStyle w:val="a4"/>
            <w:color w:val="auto"/>
            <w:sz w:val="28"/>
            <w:szCs w:val="28"/>
            <w:u w:val="none"/>
            <w:vertAlign w:val="superscript"/>
            <w:lang w:val="uk-UA"/>
          </w:rPr>
          <w:t>[3]</w:t>
        </w:r>
      </w:hyperlink>
      <w:r w:rsidRPr="00D2745A">
        <w:rPr>
          <w:sz w:val="28"/>
          <w:szCs w:val="28"/>
          <w:lang w:val="uk-UA"/>
        </w:rPr>
        <w:t> .</w:t>
      </w:r>
    </w:p>
    <w:p w:rsidR="00A30071" w:rsidRPr="00D12734" w:rsidRDefault="00A30071" w:rsidP="00A30071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D12734">
        <w:rPr>
          <w:bCs w:val="0"/>
          <w:sz w:val="28"/>
          <w:szCs w:val="28"/>
          <w:lang w:val="uk-UA"/>
        </w:rPr>
        <w:t>Погіршення радянсько-китайських відносин: наслідки для "соціалістичного табору".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Смерть І. В. Станина стала найсильнішим ударом але міжнародного комуністичного руху, яке втратило загальновизнаного лідера, чий авторитет був незаперечний. Неминуче виникло питання про те, хто ж повинен стати на чолі світового комуністичного руху після березня 1953 р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Нове радянське керівництво навіть у віддаленій ступеня не мало тим авторитетом і впливом, яким користувався покійний радянський вождь. Це стосується і В. М. Молотова, і Георгія Максиміліановича Маленкова, і Лаврентія Павловича Берії, і Н. С. Хрущова, який, врешті-решт, і взяв верх в боротьбі за владу в Кремлі.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Так, Мао Цзедун відчував себе рівним, якщо нс старшим, по відношенню до нового радянського лідера завдяки своєму більшому політичного досвіду і революційним (а не апаратним) заслугах. Н. С. Хрущов ж, йдучи на поступки щодо деяких питань китайсько-радянського співробітництва, був абсолютно не готовий йти на компроміс з питання про те, що Радянський Союз виступає "авангардом світового комуністичного руху" і "першою країною переможного соціалізму", чиє призначення - служити прикладом для всіх інших народів, які підуть тим самим шляхом.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Були й інші вагомі причини для радянсько-китайського розриву. Якщо в Радянському Союзі правляча комуністична бюрократія вже втратила революційний нив (і, по маоїстської термінології, "впала в ревізіонізм" і "обуржуазилася"), то в Китаї, навпаки, боротьба між різними угрупованнями комуністичної еліти була ще в самому розпалі. У конкретних міжнародних та внутрішньополітичних умовах Китаю 1950-1960-х рр. Маоїстська керівництво просто не могло собі дозволити ніякої "відлиги": навпаки, для згуртування партії і народу необхідно було створити в країні обстановку "обложеної фортеці".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Звідси - різні підходи Москви і Пекіна до таких основоположним міжнародним проблемам, як лідерство в світовому комуністичному русі, війна і мир, відносини з Заходом, і т.д. Були й цілком конкретні подразники в радянсько-китайських відносинах: відмова СРСР надати КНР технологію для виробництва ядерної зброї; відмова Радянського Союзу підтримати Китай в ході Тайванської кризи 1958 р різні підходи до Індії і т.д. Розпочата американська агресія у В'єтнамі не зблизило комуністичні держави, а, навпаки, ще більше їх віддалила, бо в Пекіні виникло враження про те, що Москва витісняє Китай з Південно-Східної Азії.</w:t>
      </w:r>
    </w:p>
    <w:p w:rsidR="00A30071" w:rsidRPr="00D12734" w:rsidRDefault="00A30071" w:rsidP="00A30071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D12734">
        <w:rPr>
          <w:bCs w:val="0"/>
          <w:sz w:val="28"/>
          <w:szCs w:val="28"/>
          <w:lang w:val="uk-UA"/>
        </w:rPr>
        <w:t>Успіхи західноєвропейської інтеграції.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До кінця 1960-х рр. частка "Спільного ринку" в світовому ВВП зросла з 7% (на момент підписання Римського договору в 1957 р) до 18%. Уже тоді Європейське економічне співтовариство (ЄЕС) зуміло за сумарним обсягом зовнішньої торгівлі обійти США.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Протягом 1960-х рр., Незважаючи на наполегливі спроби III. де Голля обмежити наднаціональні повноваження Європейських співтовариств, їх структури отримали, проте, подальший розвиток за рахунок появи Європейської комісії і Ради Європи. Франко-німецький договір (22 січня 1963 </w:t>
      </w:r>
      <w:r w:rsidRPr="00D2745A">
        <w:rPr>
          <w:sz w:val="28"/>
          <w:szCs w:val="28"/>
          <w:lang w:val="uk-UA"/>
        </w:rPr>
        <w:lastRenderedPageBreak/>
        <w:t>г.) став великим успіхом у зовнішній політиці Бонна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і Парижа, поклавши початок франко-німецькому "тандему". Після 1965 р створено єдиний ринок сільськогосподарської товарів, проте політичної інтеграції тоді домогтися не вдалося.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noProof/>
          <w:sz w:val="28"/>
          <w:szCs w:val="28"/>
        </w:rPr>
        <w:drawing>
          <wp:inline distT="0" distB="0" distL="0" distR="0" wp14:anchorId="067B399E" wp14:editId="405E0FF5">
            <wp:extent cx="2286000" cy="2889885"/>
            <wp:effectExtent l="0" t="0" r="0" b="5715"/>
            <wp:docPr id="23" name="Рисунок 23" descr="https://stud.com.ua/imag/politol/bat_imo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.com.ua/imag/politol/bat_imo/image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71" w:rsidRPr="00D12734" w:rsidRDefault="00A30071" w:rsidP="00A30071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D12734">
        <w:rPr>
          <w:b/>
          <w:sz w:val="28"/>
          <w:szCs w:val="28"/>
          <w:lang w:val="uk-UA"/>
        </w:rPr>
        <w:t>Шарль де Голль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Успіхи європейської інтеграції (як економічні, так і інституційні) привели до підвищення ролі і значення Західної Європи в діалозі з США. Уже на початку свого правління, 23 листопада 1959 р III. де Голль виступив із знаменитою промовою про "Європі від Атлантики до Уралу". Надалі Франція проводила все більше самостійний курс - з-під натовського командування були виведені французькі військово-морські сили в Середземному морі і Атлантиці, Париж заборонив США розміщувати на французькій території американську ядерну зброю і, нарешті, 21 лютого 1966 було оголошено про вихід Франції з військової організації НАТО. В результаті США були змушені вивести з французької території 30 тис. Своїх військовослужбовців.</w:t>
      </w:r>
    </w:p>
    <w:p w:rsidR="00A30071" w:rsidRPr="00D2745A" w:rsidRDefault="00A30071" w:rsidP="00A3007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Величезне значення мав візит президента Ш. де Голля в СРСР 20 червня - 1 липня 1966 г. Цей візит поклав початок політиці розрядки в радянсько-французьких відносинах. Надалі ця політика почала визначати характер взаємин між Сходом і Заходом в цілому.</w:t>
      </w:r>
    </w:p>
    <w:p w:rsidR="00A30071" w:rsidRPr="00D12734" w:rsidRDefault="00A30071" w:rsidP="00A30071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D127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Японське "економічне диво" та його міжнародні наслідки.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Економічні наслідки поразки у Другій світовій війні для Японії були надзвичайно важкі. У 1947 р промислове виробництво в країні було в 3,5 рази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менше, ніж в 1938 р При цьому виплавка чавуну скоротилася в 9 разів, а стали - в 6,5 рази, виробництво суден - в 7 разів, шовкових тканин - в 7,5 раз, бавовняних тканин - в 5 разів. Якщо в 1938 році на долю Японії припадало 4,8% промислового виробництва капіталістичного світу, то в 1947 р - лише 1,3%. В кінці 1940-х -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1950-х рр. економічна кон'юнктура була млявою. У країні панували злидні і розруха, що не сприяло утворенню ємного внутрішнього ринку; зовнішні ж ринки для країни були втрачені. Для країни, яка змушена ввозити більшу частину сировини і продовольства, це був важкий удар.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вже говорили про те, що після Другої світової війни реальна влада в Японії належала американській окупаційній адміністрації на чолі з Д. Макартуром. Д. Макартур при цьому хотів сформувати японську політичну і економічну систему таким чином, щоб Японія залишалася б:</w:t>
      </w:r>
    </w:p>
    <w:p w:rsidR="00A30071" w:rsidRPr="00D2745A" w:rsidRDefault="00A30071" w:rsidP="00A3007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демократичної немілітарістской країною, що орієнтується на США;</w:t>
      </w:r>
    </w:p>
    <w:p w:rsidR="00A30071" w:rsidRPr="00D2745A" w:rsidRDefault="00A30071" w:rsidP="00A3007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економічно слабкою.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 першим завданням американці впоралися, і Японія була і залишається одним з найбільш лояльних американських союзників, то повоєнний економічне відродження Японії стало сюрпризом - не тільки для Америки, але і для всього світу.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в 1953 р Японія відновила довоєнний рівень виробництва (ФРН - в 1951 р .; Італія - ​​в 1948 р). Розпочатий в 1952 р економічний підйом часто пов'язують зі сприятливою кон'юнктурою, що склалася після початку війни в Кореї, проте глибинні причини післявоєнного економічного підйому були інші. Адже війна закінчилася в 1953 р, а підйом тривав ще 20 років!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Справжні причини "японського економічного дива" були іншими: саме ті економічні та політичні перетворення, які були проведені в країні після 1945 року, надали потужний імпульс японській економіці.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1953-1960 рр. обсяг промислового виробництва зріс в 2,6 рази; в подальшому ці безпрецедентні темпи зростання зросли ще більше - в 1961 1970 рр. валова продукція японської промисловості зросла в 4,3 рази. В цілому, в 1951-1968 рр. середньорічні темпи зростання японської економіки склали 14,6% - проти 5,5% для капіталістичного світу в цілому. За обсягом промислового виробництва Японія в 1969 р обігнати Англію, а в 1970 р - ФРН, вийшовши на друге місце в світі за обсягом виробництва після США.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цьому змінювався не тільки вага країни у світовому виробництві, що склав 13,3% в 1970 р, але і структура виробництва. Якщо на початку 1950-х рр. рушійною силою економічного зростання була, переважно, текстильна промисловість, то на початку 1960-х рр. - Металургія, а в кінці десятиліття - машинобудування (виробництво засобів виробництва, суднобудування, автомобілебудування, виробництво товарів тривалого споживання). Цей галузевої зрушення, безперечно, є заслугу вмілої політики Міністерства зовнішньої торгівлі і промисловості, спрямованої на адаптацію експортне орієнтованих галузей економіки до специфічної економічної кон'юнктури 1950-1960-х рр.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хоча Японія поки що слухняно слідувала у фарватері американської політики, в кінці 1960-х рр. в Токіо почали розглядати й інші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зовнішньо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політичні опції, в тому числі активізацію політики на радянському і китайському напрямках, а також у Південно-Східній Азії.</w:t>
      </w:r>
    </w:p>
    <w:p w:rsidR="00A30071" w:rsidRPr="00D12734" w:rsidRDefault="00A30071" w:rsidP="00A30071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D12734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Висновки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до кінця 1960-х рр. позначився приблизний стратегічний паритет між "наддержавами". Паритет, сам по собі, не міг не сприяти стабілізації відносин між США і СРСР. Однак стратегічний паритет, в той же час, вніс великий внесок в ерозію біполярного світу: у американських союзників виникли цілком обгрунтовані сумніви в міцності американсько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парасольки".</w:t>
      </w:r>
    </w:p>
    <w:p w:rsidR="00A30071" w:rsidRPr="00D2745A" w:rsidRDefault="00A30071" w:rsidP="00A300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Радянсько-китайський розкол, подальше загостр</w:t>
      </w:r>
      <w:bookmarkStart w:id="0" w:name="_GoBack"/>
      <w:bookmarkEnd w:id="0"/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відносин між Радянським Союзом і його східноєвропейськими союзниками, зростання економічної могутності і політичних амбіцій американських союзників - все це свідчило про те, що біполярний світ не вічний.</w:t>
      </w:r>
    </w:p>
    <w:p w:rsidR="00BD77EA" w:rsidRPr="00A30071" w:rsidRDefault="00BD77EA" w:rsidP="00A30071"/>
    <w:sectPr w:rsidR="00BD77EA" w:rsidRPr="00A3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00"/>
    <w:multiLevelType w:val="hybridMultilevel"/>
    <w:tmpl w:val="72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FA"/>
    <w:multiLevelType w:val="hybridMultilevel"/>
    <w:tmpl w:val="FC1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2F2"/>
    <w:multiLevelType w:val="multilevel"/>
    <w:tmpl w:val="08C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5A4B"/>
    <w:multiLevelType w:val="hybridMultilevel"/>
    <w:tmpl w:val="B93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FB4"/>
    <w:multiLevelType w:val="multilevel"/>
    <w:tmpl w:val="E46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544A2"/>
    <w:multiLevelType w:val="multilevel"/>
    <w:tmpl w:val="8A9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E33A3"/>
    <w:multiLevelType w:val="hybridMultilevel"/>
    <w:tmpl w:val="2B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D9E"/>
    <w:multiLevelType w:val="multilevel"/>
    <w:tmpl w:val="9C3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128FF"/>
    <w:multiLevelType w:val="multilevel"/>
    <w:tmpl w:val="F0F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F12A1"/>
    <w:multiLevelType w:val="hybridMultilevel"/>
    <w:tmpl w:val="D11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159"/>
    <w:multiLevelType w:val="multilevel"/>
    <w:tmpl w:val="01F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3E56"/>
    <w:multiLevelType w:val="multilevel"/>
    <w:tmpl w:val="3BA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C1E59"/>
    <w:multiLevelType w:val="multilevel"/>
    <w:tmpl w:val="CB4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A3DFD"/>
    <w:multiLevelType w:val="hybridMultilevel"/>
    <w:tmpl w:val="49D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565"/>
    <w:multiLevelType w:val="hybridMultilevel"/>
    <w:tmpl w:val="914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3DF3"/>
    <w:multiLevelType w:val="multilevel"/>
    <w:tmpl w:val="A31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0430F"/>
    <w:multiLevelType w:val="hybridMultilevel"/>
    <w:tmpl w:val="FF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CE2"/>
    <w:multiLevelType w:val="multilevel"/>
    <w:tmpl w:val="2D9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5295D"/>
    <w:multiLevelType w:val="multilevel"/>
    <w:tmpl w:val="0A9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B0566"/>
    <w:multiLevelType w:val="multilevel"/>
    <w:tmpl w:val="81F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138EC"/>
    <w:multiLevelType w:val="hybridMultilevel"/>
    <w:tmpl w:val="607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0DE6"/>
    <w:multiLevelType w:val="hybridMultilevel"/>
    <w:tmpl w:val="7FD44BEA"/>
    <w:lvl w:ilvl="0" w:tplc="AB9C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053ED"/>
    <w:multiLevelType w:val="multilevel"/>
    <w:tmpl w:val="FB4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258B"/>
    <w:multiLevelType w:val="multilevel"/>
    <w:tmpl w:val="DD1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C4838"/>
    <w:multiLevelType w:val="hybridMultilevel"/>
    <w:tmpl w:val="D19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6DE0"/>
    <w:multiLevelType w:val="multilevel"/>
    <w:tmpl w:val="E49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B549E"/>
    <w:multiLevelType w:val="multilevel"/>
    <w:tmpl w:val="037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0009A"/>
    <w:multiLevelType w:val="multilevel"/>
    <w:tmpl w:val="7BF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C56B0"/>
    <w:multiLevelType w:val="multilevel"/>
    <w:tmpl w:val="E6D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9D6465"/>
    <w:multiLevelType w:val="multilevel"/>
    <w:tmpl w:val="8CB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94728"/>
    <w:multiLevelType w:val="multilevel"/>
    <w:tmpl w:val="138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05DF8"/>
    <w:multiLevelType w:val="multilevel"/>
    <w:tmpl w:val="5EE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1"/>
  </w:num>
  <w:num w:numId="7">
    <w:abstractNumId w:val="17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28"/>
  </w:num>
  <w:num w:numId="15">
    <w:abstractNumId w:val="15"/>
  </w:num>
  <w:num w:numId="16">
    <w:abstractNumId w:val="19"/>
  </w:num>
  <w:num w:numId="17">
    <w:abstractNumId w:val="30"/>
  </w:num>
  <w:num w:numId="18">
    <w:abstractNumId w:val="27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3"/>
  </w:num>
  <w:num w:numId="24">
    <w:abstractNumId w:val="14"/>
  </w:num>
  <w:num w:numId="25">
    <w:abstractNumId w:val="13"/>
  </w:num>
  <w:num w:numId="26">
    <w:abstractNumId w:val="1"/>
  </w:num>
  <w:num w:numId="27">
    <w:abstractNumId w:val="24"/>
  </w:num>
  <w:num w:numId="28">
    <w:abstractNumId w:val="6"/>
  </w:num>
  <w:num w:numId="29">
    <w:abstractNumId w:val="0"/>
  </w:num>
  <w:num w:numId="30">
    <w:abstractNumId w:val="16"/>
  </w:num>
  <w:num w:numId="31">
    <w:abstractNumId w:val="20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B"/>
    <w:rsid w:val="00010417"/>
    <w:rsid w:val="00012C21"/>
    <w:rsid w:val="0004374C"/>
    <w:rsid w:val="000509BB"/>
    <w:rsid w:val="00071912"/>
    <w:rsid w:val="00075068"/>
    <w:rsid w:val="00092C7E"/>
    <w:rsid w:val="000B627F"/>
    <w:rsid w:val="000F438C"/>
    <w:rsid w:val="001171CD"/>
    <w:rsid w:val="00130414"/>
    <w:rsid w:val="00154B36"/>
    <w:rsid w:val="00157F92"/>
    <w:rsid w:val="001630B7"/>
    <w:rsid w:val="001B1B51"/>
    <w:rsid w:val="001D672C"/>
    <w:rsid w:val="00203231"/>
    <w:rsid w:val="00251305"/>
    <w:rsid w:val="00284BC6"/>
    <w:rsid w:val="00294C24"/>
    <w:rsid w:val="002E0835"/>
    <w:rsid w:val="00316436"/>
    <w:rsid w:val="00321D3D"/>
    <w:rsid w:val="00326E5A"/>
    <w:rsid w:val="003410C2"/>
    <w:rsid w:val="003541EC"/>
    <w:rsid w:val="00361875"/>
    <w:rsid w:val="0036544A"/>
    <w:rsid w:val="003B1EB9"/>
    <w:rsid w:val="00422F95"/>
    <w:rsid w:val="004341A3"/>
    <w:rsid w:val="0045460E"/>
    <w:rsid w:val="00454F0B"/>
    <w:rsid w:val="00470FC8"/>
    <w:rsid w:val="004A122D"/>
    <w:rsid w:val="004C12F3"/>
    <w:rsid w:val="004C4B3A"/>
    <w:rsid w:val="004E36D3"/>
    <w:rsid w:val="004F0328"/>
    <w:rsid w:val="00544AB8"/>
    <w:rsid w:val="00570764"/>
    <w:rsid w:val="005715F0"/>
    <w:rsid w:val="00584BFC"/>
    <w:rsid w:val="005948A7"/>
    <w:rsid w:val="005A262D"/>
    <w:rsid w:val="005B157B"/>
    <w:rsid w:val="005D3DCE"/>
    <w:rsid w:val="006344AC"/>
    <w:rsid w:val="00644B31"/>
    <w:rsid w:val="00685A4A"/>
    <w:rsid w:val="00696BF2"/>
    <w:rsid w:val="00696DBD"/>
    <w:rsid w:val="006D0057"/>
    <w:rsid w:val="006D1E79"/>
    <w:rsid w:val="006F2282"/>
    <w:rsid w:val="00700E37"/>
    <w:rsid w:val="00753E61"/>
    <w:rsid w:val="00785754"/>
    <w:rsid w:val="007D3B46"/>
    <w:rsid w:val="00813034"/>
    <w:rsid w:val="00836EFE"/>
    <w:rsid w:val="0085414A"/>
    <w:rsid w:val="0087150E"/>
    <w:rsid w:val="00877616"/>
    <w:rsid w:val="00890A88"/>
    <w:rsid w:val="008E6329"/>
    <w:rsid w:val="009015A0"/>
    <w:rsid w:val="009015A1"/>
    <w:rsid w:val="00970EFB"/>
    <w:rsid w:val="00984CCE"/>
    <w:rsid w:val="009B0E3D"/>
    <w:rsid w:val="009B171B"/>
    <w:rsid w:val="009B6A84"/>
    <w:rsid w:val="009D57EA"/>
    <w:rsid w:val="00A03D7B"/>
    <w:rsid w:val="00A268FF"/>
    <w:rsid w:val="00A30071"/>
    <w:rsid w:val="00A34A4C"/>
    <w:rsid w:val="00A36E74"/>
    <w:rsid w:val="00A5390A"/>
    <w:rsid w:val="00A605F5"/>
    <w:rsid w:val="00A736BE"/>
    <w:rsid w:val="00AE443D"/>
    <w:rsid w:val="00B20D6F"/>
    <w:rsid w:val="00B20DB3"/>
    <w:rsid w:val="00B50498"/>
    <w:rsid w:val="00B53DF2"/>
    <w:rsid w:val="00B7494E"/>
    <w:rsid w:val="00B75027"/>
    <w:rsid w:val="00B77FF4"/>
    <w:rsid w:val="00B83163"/>
    <w:rsid w:val="00B85F47"/>
    <w:rsid w:val="00BA48C0"/>
    <w:rsid w:val="00BD77EA"/>
    <w:rsid w:val="00BF6897"/>
    <w:rsid w:val="00CE1413"/>
    <w:rsid w:val="00CE530F"/>
    <w:rsid w:val="00CF650F"/>
    <w:rsid w:val="00D12734"/>
    <w:rsid w:val="00D2745A"/>
    <w:rsid w:val="00D603FD"/>
    <w:rsid w:val="00D7154C"/>
    <w:rsid w:val="00DC3338"/>
    <w:rsid w:val="00E15993"/>
    <w:rsid w:val="00E27CD6"/>
    <w:rsid w:val="00E4521C"/>
    <w:rsid w:val="00EB5E09"/>
    <w:rsid w:val="00ED0AD1"/>
    <w:rsid w:val="00ED472A"/>
    <w:rsid w:val="00EE7C5F"/>
    <w:rsid w:val="00F01852"/>
    <w:rsid w:val="00F146A3"/>
    <w:rsid w:val="00F23B28"/>
    <w:rsid w:val="00F24907"/>
    <w:rsid w:val="00F66AD4"/>
    <w:rsid w:val="00F711A6"/>
    <w:rsid w:val="00F9166E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EE43"/>
  <w15:chartTrackingRefBased/>
  <w15:docId w15:val="{6FD7D4F0-44D2-4531-AA5E-FA7A96E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E09"/>
    <w:rPr>
      <w:color w:val="0000FF"/>
      <w:u w:val="single"/>
    </w:rPr>
  </w:style>
  <w:style w:type="character" w:styleId="a5">
    <w:name w:val="Strong"/>
    <w:basedOn w:val="a0"/>
    <w:uiPriority w:val="22"/>
    <w:qFormat/>
    <w:rsid w:val="000750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03F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75680/politologiya/mizhnarodni_vidnosini_protyagom_1960_pochatok_eroziyi_bipolyarnoyi_sistemi_mizhnarodnih_vidnosin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.com.ua/75680/politologiya/mizhnarodni_vidnosini_protyagom_1960_pochatok_eroziyi_bipolyarnoyi_sistemi_mizhnarodnih_vidnos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.com.ua/75680/politologiya/mizhnarodni_vidnosini_protyagom_1960_pochatok_eroziyi_bipolyarnoyi_sistemi_mizhnarodnih_vidnos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01AA-5745-46D8-8AE7-157C260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115</cp:revision>
  <dcterms:created xsi:type="dcterms:W3CDTF">2020-09-04T15:32:00Z</dcterms:created>
  <dcterms:modified xsi:type="dcterms:W3CDTF">2020-09-07T15:48:00Z</dcterms:modified>
</cp:coreProperties>
</file>